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94" w:rsidRDefault="00075A94" w:rsidP="00075A94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94" w:rsidRDefault="00075A94" w:rsidP="00075A94">
      <w:pPr>
        <w:ind w:left="-658" w:right="-823"/>
        <w:jc w:val="center"/>
        <w:rPr>
          <w:rFonts w:ascii="Times" w:hAnsi="Times"/>
          <w:sz w:val="36"/>
        </w:rPr>
      </w:pPr>
    </w:p>
    <w:p w:rsidR="00075A94" w:rsidRDefault="00075A94" w:rsidP="00075A94">
      <w:pPr>
        <w:ind w:left="-658" w:right="-823"/>
        <w:rPr>
          <w:rFonts w:ascii="Times" w:hAnsi="Times"/>
          <w:sz w:val="36"/>
        </w:rPr>
      </w:pPr>
    </w:p>
    <w:p w:rsidR="00075A94" w:rsidRPr="006434BC" w:rsidRDefault="00075A94" w:rsidP="00075A94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075A94" w:rsidRPr="006434BC" w:rsidRDefault="00075A94" w:rsidP="00075A94">
      <w:pPr>
        <w:jc w:val="center"/>
        <w:rPr>
          <w:sz w:val="36"/>
        </w:rPr>
      </w:pPr>
    </w:p>
    <w:p w:rsidR="00075A94" w:rsidRPr="006434BC" w:rsidRDefault="00075A94" w:rsidP="00075A94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075A94" w:rsidRPr="006434BC" w:rsidRDefault="00075A94" w:rsidP="00075A94">
      <w:pPr>
        <w:pStyle w:val="BodyText"/>
      </w:pPr>
    </w:p>
    <w:p w:rsidR="00075A94" w:rsidRPr="006434BC" w:rsidRDefault="00075A94" w:rsidP="00075A94">
      <w:pPr>
        <w:pStyle w:val="BodyText"/>
      </w:pPr>
    </w:p>
    <w:p w:rsidR="00075A94" w:rsidRPr="006434BC" w:rsidRDefault="00075A94" w:rsidP="00075A94">
      <w:pPr>
        <w:jc w:val="both"/>
        <w:rPr>
          <w:color w:val="333333"/>
          <w:sz w:val="17"/>
          <w:szCs w:val="17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March 19,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12.00</w:t>
      </w:r>
      <w:r w:rsidRPr="006434BC">
        <w:rPr>
          <w:sz w:val="36"/>
        </w:rPr>
        <w:t xml:space="preserve"> </w:t>
      </w:r>
      <w:r>
        <w:rPr>
          <w:sz w:val="36"/>
        </w:rPr>
        <w:t>hrs.</w:t>
      </w:r>
      <w:r w:rsidRPr="006434BC">
        <w:rPr>
          <w:color w:val="333333"/>
          <w:sz w:val="17"/>
          <w:szCs w:val="17"/>
        </w:rPr>
        <w:t xml:space="preserve"> </w:t>
      </w:r>
    </w:p>
    <w:p w:rsidR="00075A94" w:rsidRPr="006434BC" w:rsidRDefault="00075A94" w:rsidP="00075A94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075A94" w:rsidRDefault="00075A94" w:rsidP="00075A94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075A94" w:rsidRDefault="00075A94" w:rsidP="00075A94">
      <w:pPr>
        <w:jc w:val="center"/>
        <w:rPr>
          <w:b/>
          <w:sz w:val="32"/>
          <w:szCs w:val="32"/>
        </w:rPr>
      </w:pPr>
    </w:p>
    <w:p w:rsidR="00075A94" w:rsidRPr="006434BC" w:rsidRDefault="00075A94" w:rsidP="00075A94">
      <w:pPr>
        <w:rPr>
          <w:b/>
          <w:sz w:val="32"/>
          <w:szCs w:val="32"/>
        </w:rPr>
      </w:pPr>
    </w:p>
    <w:p w:rsidR="00075A94" w:rsidRPr="00B01D15" w:rsidRDefault="00075A94" w:rsidP="00075A94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Saugata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Basu</w:t>
      </w:r>
      <w:proofErr w:type="spellEnd"/>
    </w:p>
    <w:p w:rsidR="00075A94" w:rsidRDefault="00075A94" w:rsidP="00075A94">
      <w:pPr>
        <w:jc w:val="center"/>
        <w:rPr>
          <w:sz w:val="36"/>
          <w:szCs w:val="36"/>
        </w:rPr>
      </w:pPr>
      <w:r>
        <w:rPr>
          <w:sz w:val="36"/>
          <w:szCs w:val="36"/>
        </w:rPr>
        <w:t>Purdue University</w:t>
      </w:r>
    </w:p>
    <w:p w:rsidR="00075A94" w:rsidRDefault="00075A94" w:rsidP="00075A94">
      <w:pPr>
        <w:rPr>
          <w:sz w:val="36"/>
          <w:szCs w:val="36"/>
        </w:rPr>
      </w:pPr>
    </w:p>
    <w:p w:rsidR="00075A94" w:rsidRPr="00DE788C" w:rsidRDefault="00075A94" w:rsidP="00075A94">
      <w:pPr>
        <w:jc w:val="both"/>
        <w:rPr>
          <w:sz w:val="32"/>
          <w:szCs w:val="32"/>
        </w:rPr>
      </w:pPr>
      <w:r w:rsidRPr="00DE788C">
        <w:rPr>
          <w:sz w:val="32"/>
          <w:szCs w:val="32"/>
        </w:rPr>
        <w:t xml:space="preserve">Quantitative bounds on the topology of semi-algebraic and definable sets </w:t>
      </w:r>
    </w:p>
    <w:p w:rsidR="00075A94" w:rsidRPr="00761866" w:rsidRDefault="00075A94" w:rsidP="00075A94">
      <w:pPr>
        <w:rPr>
          <w:sz w:val="36"/>
          <w:szCs w:val="36"/>
        </w:rPr>
      </w:pPr>
    </w:p>
    <w:p w:rsidR="00075A94" w:rsidRDefault="00075A94" w:rsidP="00075A94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075A94" w:rsidRPr="006434BC" w:rsidRDefault="00075A94" w:rsidP="00075A94">
      <w:pPr>
        <w:jc w:val="both"/>
      </w:pPr>
    </w:p>
    <w:p w:rsidR="00075A94" w:rsidRDefault="00075A94" w:rsidP="00075A94">
      <w:pPr>
        <w:jc w:val="both"/>
      </w:pPr>
    </w:p>
    <w:p w:rsidR="00075A94" w:rsidRDefault="00075A94" w:rsidP="00075A94">
      <w:pPr>
        <w:jc w:val="both"/>
      </w:pPr>
      <w:r>
        <w:t xml:space="preserve"> I will survey some old and new results on bounding the topology of </w:t>
      </w:r>
      <w:proofErr w:type="spellStart"/>
      <w:r>
        <w:t>semialgebraic</w:t>
      </w:r>
      <w:proofErr w:type="spellEnd"/>
      <w:r>
        <w:t xml:space="preserve"> and definable sets in terms of various parameters of their defining formulas, and indicate how some of these results impact problems of discrete geometry over the </w:t>
      </w:r>
      <w:proofErr w:type="spellStart"/>
      <w:r>
        <w:t>reals</w:t>
      </w:r>
      <w:proofErr w:type="spellEnd"/>
      <w:r>
        <w:t>. If time permits I will pose some open questions as well.</w:t>
      </w:r>
    </w:p>
    <w:p w:rsidR="00075A94" w:rsidRDefault="00075A94" w:rsidP="00075A94"/>
    <w:p w:rsidR="00075A94" w:rsidRDefault="00075A94" w:rsidP="00075A94"/>
    <w:p w:rsidR="00075A94" w:rsidRPr="006434BC" w:rsidRDefault="00075A94" w:rsidP="00075A94"/>
    <w:p w:rsidR="00075A94" w:rsidRPr="001205B9" w:rsidRDefault="00075A94" w:rsidP="00075A94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075A94" w:rsidRDefault="00075A94" w:rsidP="00075A94">
      <w:pPr>
        <w:rPr>
          <w:sz w:val="22"/>
          <w:szCs w:val="22"/>
        </w:rPr>
      </w:pPr>
    </w:p>
    <w:p w:rsidR="00075A94" w:rsidRDefault="00075A94" w:rsidP="00075A94">
      <w:pPr>
        <w:rPr>
          <w:sz w:val="22"/>
          <w:szCs w:val="22"/>
        </w:rPr>
      </w:pPr>
    </w:p>
    <w:p w:rsidR="00075A94" w:rsidRDefault="00075A94" w:rsidP="00075A94">
      <w:pPr>
        <w:rPr>
          <w:sz w:val="22"/>
          <w:szCs w:val="22"/>
        </w:rPr>
      </w:pPr>
    </w:p>
    <w:p w:rsidR="00075A94" w:rsidRDefault="00075A94" w:rsidP="00075A94">
      <w:pPr>
        <w:rPr>
          <w:sz w:val="22"/>
          <w:szCs w:val="22"/>
        </w:rPr>
      </w:pPr>
    </w:p>
    <w:p w:rsidR="00F7453D" w:rsidRDefault="00F7453D"/>
    <w:sectPr w:rsidR="00F7453D" w:rsidSect="00F7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75A94"/>
    <w:rsid w:val="00075A94"/>
    <w:rsid w:val="00F7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75A9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75A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075A94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075A94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5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5A94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2018-03-12T11:54:00Z</dcterms:created>
  <dcterms:modified xsi:type="dcterms:W3CDTF">2018-03-12T11:55:00Z</dcterms:modified>
</cp:coreProperties>
</file>